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仿宋_GB2312" w:eastAsia="仿宋_GB2312"/>
          <w:b/>
          <w:spacing w:val="20"/>
          <w:sz w:val="28"/>
          <w:szCs w:val="28"/>
        </w:rPr>
      </w:pPr>
      <w:r>
        <w:rPr>
          <w:rFonts w:hint="eastAsia" w:ascii="仿宋_GB2312" w:eastAsia="仿宋_GB2312"/>
          <w:b/>
          <w:spacing w:val="20"/>
          <w:sz w:val="28"/>
          <w:szCs w:val="28"/>
        </w:rPr>
        <w:t>附件1：</w:t>
      </w:r>
    </w:p>
    <w:tbl>
      <w:tblPr>
        <w:tblStyle w:val="3"/>
        <w:tblW w:w="95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614"/>
        <w:gridCol w:w="450"/>
        <w:gridCol w:w="60"/>
        <w:gridCol w:w="629"/>
        <w:gridCol w:w="1154"/>
        <w:gridCol w:w="734"/>
        <w:gridCol w:w="404"/>
        <w:gridCol w:w="2385"/>
        <w:gridCol w:w="679"/>
        <w:gridCol w:w="14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1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6"/>
                <w:szCs w:val="36"/>
                <w:lang w:bidi="ar"/>
              </w:rPr>
              <w:t>义乌工商职业技术学院2019年度高层次人才引进计划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28"/>
                <w:szCs w:val="28"/>
                <w:lang w:bidi="ar"/>
              </w:rPr>
              <w:t>一、领军人才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710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国家级人才</w:t>
            </w:r>
          </w:p>
        </w:tc>
        <w:tc>
          <w:tcPr>
            <w:tcW w:w="71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家级有突出贡献的中青年专家，国家杰出青年基金获得者，长江学者特聘教授，国家级重点学科、重点实验室、工程技术研究中心学术技术带头人，国家“千人计划”入选者，国家“百千万人才工程”第一、二层次入选者，国家“万人计划”入选者，以及相当于上述层次的领军人才，年龄一般不超过55周岁。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人数不限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省部级人才</w:t>
            </w:r>
          </w:p>
        </w:tc>
        <w:tc>
          <w:tcPr>
            <w:tcW w:w="71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享受国务院特殊津贴人员，国家青年“千人计划”入选者，省特级专家，省部级有突出贡献的中青年专家，省“千人计划”入选者，省“151人才工程”第一、二层次入选者，教育部“新世纪优秀人才支持”入选者；国家级专业教学团队带头人；国家级教学名师，以及相当于上述层次的领军人才。年龄一般不超过50周岁。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</w:trPr>
        <w:tc>
          <w:tcPr>
            <w:tcW w:w="9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二、专业（学术带头人）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14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5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电商产业类专业群</w:t>
            </w:r>
          </w:p>
        </w:tc>
        <w:tc>
          <w:tcPr>
            <w:tcW w:w="60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近5年内，主持省部级以上科研（或教改）项目或获省部级以上教学、科研成果奖的教授；学校紧缺、专业建设经验丰富且成效显著的专业带头人，具有高级专业技术职务；专业建设急需的博士、博士后，有突出的科研成果；专业紧缺的技能型人才，获国家技能大师工作室领办人等相当荣誉。年龄一般不超过45周岁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创意设计类专业群</w:t>
            </w:r>
          </w:p>
        </w:tc>
        <w:tc>
          <w:tcPr>
            <w:tcW w:w="60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工程制造类专业群</w:t>
            </w:r>
          </w:p>
        </w:tc>
        <w:tc>
          <w:tcPr>
            <w:tcW w:w="60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0" w:hRule="atLeast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现代服务类专业群</w:t>
            </w:r>
          </w:p>
        </w:tc>
        <w:tc>
          <w:tcPr>
            <w:tcW w:w="60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三、高技能人才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6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高技能人才</w:t>
            </w:r>
          </w:p>
        </w:tc>
        <w:tc>
          <w:tcPr>
            <w:tcW w:w="6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省首席技师、省级技能大师工作室领办人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9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四、博士人才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二级学院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拟核定数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学历学位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 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   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经济管理学院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金融管理专任教师</w:t>
            </w:r>
            <w:bookmarkEnd w:id="0"/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金融学、区域经济学、产业经济学、统计学、数量经济学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75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机电信息学院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印刷专任教师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材料学（印刷、包装材料方向）、机械工程（印刷、包装机械方向）、计算机科学与技术（图像处理方向）、光学工程（印刷光学方向）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本科为印刷工程专业，硕士为工科类专业。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5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机电专任教师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机器人控制、机械设计及理论、机械电子工程、机械制造及其自动化、车辆工程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25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创业学院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跨境电商专任教师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电子商务、国际贸易、国际商务、管理科学与工程、市场营销、德语、西班牙语、法语、阿拉伯语、俄语、泰语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0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商务数据分析与应用专任教师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数学类、计算机科学与技术类、电子科学与技术类、数学与信息技术、统计学、软件工程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建筑工程学院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建筑工程管理专任教师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管理科学与工程、岩土工程、结构工程、工程管理（工程造价方向）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具有工程实践经验者或国家一级注册造价工程师优先。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建筑工程技术专任教师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岩土工程、结构工程、管理科学与工程、工程管理（工程造价方向）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要求本科专业为土木工程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0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外语外贸学院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国贸专业专任教师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国际贸易学、产业经济学、世界经济、统计学、西方经济学、区域经济学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1.本科阶段须全日制毕业； 2.本、硕专业一致；3.本科专业需属于经济学学科。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0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物流专业专任教师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物流管理与工程、物流工程与管理、物流工程、物流管理、物流工程、物流与供应链管理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1.本科和硕士研究生阶段须全日制毕业； 2.本、硕专业一致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英语专业专任教师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外国语言文学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1.本科和硕士研究生阶段须全日制毕业；2.本、硕专业一致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创意设计学院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产品艺术设计专任教师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艺术学类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公共教学部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思政教师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45周岁以下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中国近现代史、中共党史、科学社会主义与国际共产主义运动、马克思主义哲学、马克思主义理论类、伦理学、国际政治、国际关系、法学类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1.中共党员2.法学类专业毕业的要求本科为思想政治教育专业。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1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创新研究院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研究岗位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博士研究生学历、学位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全日制毕业生。要求政治素质好，遵纪守法，品德优良；爱岗敬业，具有较强的文字和语言表达能力、数据分析能力，能胜任创新研究院研究、组织协调等工作；身体健康，仪表端正。无寒暑假。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备注：1.专业要求有研究方向的，如毕业证书上无表述，按毕业论文研究领域把握。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2.省首席技师、省级技能大师工作室领办人视同博士人才引进。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713F7"/>
    <w:rsid w:val="46F45C8D"/>
    <w:rsid w:val="5E7713F7"/>
    <w:rsid w:val="6F7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2019-07-12T08:10:00Z</dcterms:created>
  <dc:creator>Mimi～</dc:creator>
  <cp:lastModifiedBy>Mimi～</cp:lastModifiedBy>
  <dcterms:modified xsi:type="dcterms:W3CDTF">2019-07-26T01:46:16Z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