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393"/>
        <w:gridCol w:w="1181"/>
        <w:gridCol w:w="1048"/>
        <w:gridCol w:w="1063"/>
        <w:gridCol w:w="1131"/>
        <w:gridCol w:w="914"/>
        <w:gridCol w:w="1097"/>
        <w:gridCol w:w="2095"/>
        <w:gridCol w:w="2180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100" w:type="dxa"/>
            <w:gridSpan w:val="11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r>
              <w:rPr>
                <w:rStyle w:val="6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深圳市光明新区组织人事局公开选聘博士人才</w:t>
            </w:r>
            <w:r>
              <w:rPr>
                <w:rStyle w:val="7"/>
                <w:lang w:val="en-US" w:eastAsia="zh-CN" w:bidi="ar"/>
              </w:rPr>
              <w:t>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100" w:type="dxa"/>
            <w:gridSpan w:val="11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100" w:type="dxa"/>
            <w:gridSpan w:val="11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6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010101-</w:t>
            </w:r>
            <w:r>
              <w:rPr>
                <w:rStyle w:val="8"/>
                <w:rFonts w:hint="default"/>
                <w:lang w:bidi="ar"/>
              </w:rPr>
              <w:t>马克思主义哲学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030204</w:t>
            </w:r>
            <w:r>
              <w:rPr>
                <w:rStyle w:val="9"/>
                <w:rFonts w:hint="default"/>
                <w:lang w:bidi="ar"/>
              </w:rPr>
              <w:t>-</w:t>
            </w:r>
            <w:r>
              <w:rPr>
                <w:rStyle w:val="8"/>
                <w:rFonts w:hint="default"/>
                <w:lang w:bidi="ar"/>
              </w:rPr>
              <w:t>中共党史(含:党的学说与党的建设)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020202</w:t>
            </w:r>
            <w:r>
              <w:rPr>
                <w:rStyle w:val="9"/>
                <w:rFonts w:hint="default"/>
                <w:lang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区域经济学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/>
                <w:lang w:bidi="ar"/>
              </w:rPr>
              <w:t>0301-法学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3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/>
                <w:lang w:bidi="ar"/>
              </w:rPr>
              <w:t>0402-心理学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color w:val="auto"/>
                <w:highlight w:val="yellow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030301-社会学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201807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光明新区党员干部教育培训中心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教学研究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专技岗位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十三级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1204-公</w:t>
            </w:r>
            <w:bookmarkStart w:id="0" w:name="_GoBack"/>
            <w:r>
              <w:rPr>
                <w:rStyle w:val="9"/>
                <w:rFonts w:hint="default"/>
                <w:lang w:bidi="ar"/>
              </w:rPr>
              <w:t>共管</w:t>
            </w:r>
            <w:bookmarkEnd w:id="0"/>
            <w:r>
              <w:rPr>
                <w:rStyle w:val="9"/>
                <w:rFonts w:hint="default"/>
                <w:lang w:bidi="ar"/>
              </w:rPr>
              <w:t>理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/>
                <w:i w:val="0"/>
                <w:lang w:val="en-US" w:eastAsia="zh-CN" w:bidi="ar"/>
              </w:rPr>
            </w:pPr>
            <w:r>
              <w:rPr>
                <w:rStyle w:val="9"/>
                <w:rFonts w:hint="default"/>
                <w:lang w:bidi="ar"/>
              </w:rPr>
              <w:t>全日制普通高等教育,40周岁及以下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293" w:right="1440" w:bottom="1395" w:left="12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3F60"/>
    <w:rsid w:val="000C2C7C"/>
    <w:rsid w:val="0D764DB5"/>
    <w:rsid w:val="29E24109"/>
    <w:rsid w:val="31AA3F60"/>
    <w:rsid w:val="4BA27CC8"/>
    <w:rsid w:val="7E7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font71"/>
    <w:basedOn w:val="3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2018-01-05T02:52:00Z</dcterms:created>
  <dc:creator>victormai</dc:creator>
  <cp:lastModifiedBy>victormai</cp:lastModifiedBy>
  <cp:lastPrinted>2018-01-05T07:37:00Z</cp:lastPrinted>
  <dcterms:modified xsi:type="dcterms:W3CDTF">2018-01-30T01:43:40Z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