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643" w:firstLineChars="200"/>
        <w:jc w:val="center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b/>
          <w:kern w:val="0"/>
          <w:sz w:val="32"/>
          <w:szCs w:val="32"/>
        </w:rPr>
        <w:t>引进人才的范围和条件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领军人才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国家级人才：国家级有突出贡献的中青年专家，国家杰出青年基金获得者，长江学者特聘教授，国家级重点学科、重点实验室、工程技术研究中心学术技术带头人，国家“千人计划”入选者，国家“百千万人才工程”第一、二层次入选者，国家“万人计划”入选者，以及相当于上述层次的领军人才。年龄一般不超过55周岁。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省部级人才：享受国务院特殊津贴人员，国家青年“千人计划”入选者，省特级专家，省部级有突出贡献的中青年专家，省“千人计划”入选者，省“151人才工程”第一、二层次入选者，教育部“新世纪优秀人才支持”入选者；国家级专业教学团队带头人；国家级教学名师，以及相当于上述层次的领军人才。年龄一般不超过50周岁。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专业（学术）带头人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近5年内，主持省部级以上科研（或教改）项目或获省部级以上教学、科研成果奖的教授；学校紧缺、专业建设经验丰富且成效显著的专业带头人，具有高级专业技术职务；专业建设急需的博士、博士后，有突出的科研成果；专业紧缺的技能型人才，获国家技能大师工作室领办人等相当荣誉。年龄一般不超过45周岁。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  <w:lang w:eastAsia="zh-CN"/>
        </w:rPr>
        <w:t>三、</w:t>
      </w:r>
      <w:bookmarkStart w:id="0" w:name="_GoBack"/>
      <w:bookmarkEnd w:id="0"/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优秀博士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专业建设急需的，在专业领域造诣较深的博士、博士后，按学术、科研水平分A、B、C两类。A类要求主持省部级科研项目研究，有较强的科研成果和较大的潜力；B类要求参与省部级科研项目研究（排名前3），或第一作者在一级核心期刊发表，或被SSCI、SCI等重要索引收录；C类要求有一定的科研成果和潜力、符合学校专业建设的其他博士。年龄不超过45周岁。</w:t>
      </w:r>
    </w:p>
    <w:p>
      <w:pPr>
        <w:snapToGrid w:val="0"/>
        <w:spacing w:line="560" w:lineRule="exact"/>
        <w:ind w:firstLine="640" w:firstLineChars="200"/>
        <w:rPr>
          <w:rFonts w:ascii="仿宋_GB2312" w:hAnsi="方正大标宋简体" w:eastAsia="仿宋_GB2312" w:cs="方正大标宋简体"/>
          <w:kern w:val="0"/>
          <w:sz w:val="32"/>
          <w:szCs w:val="32"/>
        </w:rPr>
      </w:pPr>
      <w:r>
        <w:rPr>
          <w:rFonts w:hint="eastAsia" w:ascii="仿宋_GB2312" w:hAnsi="方正大标宋简体" w:eastAsia="仿宋_GB2312" w:cs="方正大标宋简体"/>
          <w:kern w:val="0"/>
          <w:sz w:val="32"/>
          <w:szCs w:val="32"/>
        </w:rPr>
        <w:t>专业紧缺的高技能人才，获省首席技师、省级技能大师工作室领办人等相当荣誉的参照B类待遇标准引进，并适当放宽学历要求。根据行业领域现状及学校实际情况，建筑类、艺术设计类博士按A类引进。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94E94"/>
    <w:rsid w:val="100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2019-07-15T03:28:00Z</dcterms:created>
  <dc:creator>Mimi～</dc:creator>
  <cp:lastModifiedBy>Mimi～</cp:lastModifiedBy>
  <dcterms:modified xsi:type="dcterms:W3CDTF">2019-07-15T03:30:08Z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