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color w:val="000000"/>
          <w:sz w:val="32"/>
          <w:szCs w:val="32"/>
        </w:rPr>
      </w:pPr>
      <w:r>
        <w:rPr>
          <w:rFonts w:hint="eastAsia" w:ascii="黑体" w:eastAsia="黑体"/>
          <w:color w:val="000000"/>
          <w:sz w:val="32"/>
          <w:szCs w:val="32"/>
        </w:rPr>
        <w:t>附件2</w:t>
      </w:r>
      <w:bookmarkStart w:id="0" w:name="_GoBack"/>
      <w:bookmarkEnd w:id="0"/>
    </w:p>
    <w:p>
      <w:pPr>
        <w:widowControl/>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海南软件职业技术学院2020年人才招聘需求计划表</w:t>
      </w:r>
    </w:p>
    <w:p>
      <w:pPr>
        <w:widowControl/>
        <w:jc w:val="center"/>
        <w:rPr>
          <w:rFonts w:hint="eastAsia" w:ascii="楷体_GB2312" w:hAnsi="宋体" w:eastAsia="楷体_GB2312" w:cs="宋体"/>
          <w:bCs/>
          <w:color w:val="000000"/>
          <w:kern w:val="0"/>
          <w:sz w:val="44"/>
          <w:szCs w:val="44"/>
        </w:rPr>
      </w:pPr>
      <w:r>
        <w:rPr>
          <w:rFonts w:hint="eastAsia" w:ascii="楷体_GB2312" w:hAnsi="宋体" w:eastAsia="楷体_GB2312" w:cs="宋体"/>
          <w:bCs/>
          <w:color w:val="000000"/>
          <w:kern w:val="0"/>
          <w:sz w:val="32"/>
          <w:szCs w:val="32"/>
        </w:rPr>
        <w:t>（科研/教学人员、专任教师、辅导员，共32人）</w:t>
      </w:r>
    </w:p>
    <w:tbl>
      <w:tblPr>
        <w:tblStyle w:val="4"/>
        <w:tblW w:w="15874" w:type="dxa"/>
        <w:jc w:val="center"/>
        <w:tblLayout w:type="fixed"/>
        <w:tblCellMar>
          <w:top w:w="0" w:type="dxa"/>
          <w:left w:w="108" w:type="dxa"/>
          <w:bottom w:w="0" w:type="dxa"/>
          <w:right w:w="108" w:type="dxa"/>
        </w:tblCellMar>
      </w:tblPr>
      <w:tblGrid>
        <w:gridCol w:w="1707"/>
        <w:gridCol w:w="1414"/>
        <w:gridCol w:w="425"/>
        <w:gridCol w:w="992"/>
        <w:gridCol w:w="781"/>
        <w:gridCol w:w="500"/>
        <w:gridCol w:w="828"/>
        <w:gridCol w:w="1959"/>
        <w:gridCol w:w="1276"/>
        <w:gridCol w:w="2525"/>
        <w:gridCol w:w="2758"/>
        <w:gridCol w:w="709"/>
      </w:tblGrid>
      <w:tr>
        <w:tblPrEx>
          <w:tblCellMar>
            <w:top w:w="0" w:type="dxa"/>
            <w:left w:w="108" w:type="dxa"/>
            <w:bottom w:w="0" w:type="dxa"/>
            <w:right w:w="108" w:type="dxa"/>
          </w:tblCellMar>
        </w:tblPrEx>
        <w:trPr>
          <w:trHeight w:val="450" w:hRule="atLeast"/>
          <w:tblHeader/>
          <w:jc w:val="center"/>
        </w:trPr>
        <w:tc>
          <w:tcPr>
            <w:tcW w:w="17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部门</w:t>
            </w:r>
          </w:p>
        </w:tc>
        <w:tc>
          <w:tcPr>
            <w:tcW w:w="14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招聘岗位</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招聘人数</w:t>
            </w:r>
          </w:p>
        </w:tc>
        <w:tc>
          <w:tcPr>
            <w:tcW w:w="992"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b/>
                <w:color w:val="000000"/>
                <w:kern w:val="0"/>
                <w:szCs w:val="21"/>
              </w:rPr>
            </w:pPr>
            <w:r>
              <w:rPr>
                <w:rFonts w:hint="eastAsia" w:ascii="宋体" w:hAnsi="宋体" w:cs="宋体"/>
                <w:b/>
                <w:color w:val="000000"/>
                <w:kern w:val="0"/>
                <w:szCs w:val="21"/>
              </w:rPr>
              <w:t>薪酬</w:t>
            </w:r>
          </w:p>
          <w:p>
            <w:pPr>
              <w:widowControl/>
              <w:spacing w:line="300" w:lineRule="exact"/>
              <w:jc w:val="center"/>
              <w:rPr>
                <w:rFonts w:hint="eastAsia" w:ascii="宋体" w:hAnsi="宋体" w:cs="宋体"/>
                <w:b/>
                <w:color w:val="000000"/>
                <w:kern w:val="0"/>
                <w:szCs w:val="21"/>
              </w:rPr>
            </w:pPr>
            <w:r>
              <w:rPr>
                <w:rFonts w:hint="eastAsia" w:ascii="宋体" w:hAnsi="宋体" w:cs="宋体"/>
                <w:b/>
                <w:color w:val="000000"/>
                <w:kern w:val="0"/>
                <w:szCs w:val="21"/>
              </w:rPr>
              <w:t>待遇</w:t>
            </w:r>
          </w:p>
          <w:p>
            <w:pPr>
              <w:widowControl/>
              <w:spacing w:line="300" w:lineRule="exact"/>
              <w:jc w:val="center"/>
              <w:rPr>
                <w:rFonts w:hint="eastAsia" w:ascii="宋体" w:hAnsi="宋体" w:cs="宋体"/>
                <w:b/>
                <w:color w:val="000000"/>
                <w:kern w:val="0"/>
                <w:szCs w:val="21"/>
              </w:rPr>
            </w:pPr>
            <w:r>
              <w:rPr>
                <w:rFonts w:hint="eastAsia" w:ascii="宋体" w:hAnsi="宋体" w:cs="宋体"/>
                <w:b/>
                <w:color w:val="000000"/>
                <w:kern w:val="0"/>
                <w:szCs w:val="21"/>
              </w:rPr>
              <w:t>（万元/年）</w:t>
            </w:r>
          </w:p>
        </w:tc>
        <w:tc>
          <w:tcPr>
            <w:tcW w:w="7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是否事业单位特聘岗位</w:t>
            </w:r>
          </w:p>
        </w:tc>
        <w:tc>
          <w:tcPr>
            <w:tcW w:w="5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
                <w:color w:val="000000"/>
                <w:kern w:val="0"/>
                <w:szCs w:val="21"/>
              </w:rPr>
            </w:pPr>
            <w:r>
              <w:rPr>
                <w:rFonts w:hint="eastAsia" w:ascii="宋体" w:hAnsi="宋体" w:cs="宋体"/>
                <w:b/>
                <w:color w:val="000000"/>
                <w:kern w:val="0"/>
                <w:szCs w:val="21"/>
              </w:rPr>
              <w:t>性别</w:t>
            </w:r>
          </w:p>
        </w:tc>
        <w:tc>
          <w:tcPr>
            <w:tcW w:w="658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资格条件</w:t>
            </w:r>
          </w:p>
        </w:tc>
        <w:tc>
          <w:tcPr>
            <w:tcW w:w="2758"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岗位工作要求</w:t>
            </w:r>
          </w:p>
        </w:tc>
        <w:tc>
          <w:tcPr>
            <w:tcW w:w="709"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b/>
                <w:color w:val="000000"/>
                <w:kern w:val="0"/>
                <w:szCs w:val="21"/>
              </w:rPr>
            </w:pPr>
            <w:r>
              <w:rPr>
                <w:rFonts w:hint="eastAsia" w:ascii="宋体" w:hAnsi="宋体" w:cs="宋体"/>
                <w:b/>
                <w:color w:val="000000"/>
                <w:kern w:val="0"/>
                <w:szCs w:val="21"/>
              </w:rPr>
              <w:t>招聘</w:t>
            </w:r>
          </w:p>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方式</w:t>
            </w:r>
          </w:p>
        </w:tc>
      </w:tr>
      <w:tr>
        <w:tblPrEx>
          <w:tblCellMar>
            <w:top w:w="0" w:type="dxa"/>
            <w:left w:w="108" w:type="dxa"/>
            <w:bottom w:w="0" w:type="dxa"/>
            <w:right w:w="108" w:type="dxa"/>
          </w:tblCellMar>
        </w:tblPrEx>
        <w:trPr>
          <w:trHeight w:val="375" w:hRule="atLeast"/>
          <w:tblHeader/>
          <w:jc w:val="center"/>
        </w:trPr>
        <w:tc>
          <w:tcPr>
            <w:tcW w:w="17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c>
          <w:tcPr>
            <w:tcW w:w="1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c>
          <w:tcPr>
            <w:tcW w:w="992" w:type="dxa"/>
            <w:vMerge w:val="continue"/>
            <w:tcBorders>
              <w:left w:val="single" w:color="auto" w:sz="4" w:space="0"/>
              <w:bottom w:val="single" w:color="auto" w:sz="4" w:space="0"/>
              <w:right w:val="single" w:color="auto" w:sz="4" w:space="0"/>
            </w:tcBorders>
            <w:noWrap w:val="0"/>
            <w:vAlign w:val="top"/>
          </w:tcPr>
          <w:p>
            <w:pPr>
              <w:widowControl/>
              <w:spacing w:line="300" w:lineRule="exact"/>
              <w:jc w:val="left"/>
              <w:rPr>
                <w:rFonts w:ascii="宋体" w:hAnsi="宋体" w:cs="宋体"/>
                <w:color w:val="000000"/>
                <w:kern w:val="0"/>
                <w:szCs w:val="21"/>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c>
          <w:tcPr>
            <w:tcW w:w="828"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年龄</w:t>
            </w:r>
          </w:p>
        </w:tc>
        <w:tc>
          <w:tcPr>
            <w:tcW w:w="1959"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专业（方向）</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
                <w:color w:val="000000"/>
                <w:kern w:val="0"/>
                <w:szCs w:val="21"/>
              </w:rPr>
            </w:pPr>
            <w:r>
              <w:rPr>
                <w:rFonts w:hint="eastAsia" w:ascii="宋体" w:hAnsi="宋体" w:cs="宋体"/>
                <w:b/>
                <w:color w:val="000000"/>
                <w:kern w:val="0"/>
                <w:szCs w:val="21"/>
              </w:rPr>
              <w:t>学历</w:t>
            </w:r>
          </w:p>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学位</w:t>
            </w:r>
          </w:p>
        </w:tc>
        <w:tc>
          <w:tcPr>
            <w:tcW w:w="2525"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其他条件</w:t>
            </w:r>
          </w:p>
        </w:tc>
        <w:tc>
          <w:tcPr>
            <w:tcW w:w="2758"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1385" w:hRule="atLeast"/>
          <w:jc w:val="center"/>
        </w:trPr>
        <w:tc>
          <w:tcPr>
            <w:tcW w:w="1707"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软件工程学院</w:t>
            </w:r>
          </w:p>
          <w:p>
            <w:pPr>
              <w:widowControl/>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（人工智能学院）</w:t>
            </w:r>
          </w:p>
        </w:tc>
        <w:tc>
          <w:tcPr>
            <w:tcW w:w="1414" w:type="dxa"/>
            <w:tcBorders>
              <w:top w:val="nil"/>
              <w:left w:val="nil"/>
              <w:bottom w:val="single" w:color="auto" w:sz="4" w:space="0"/>
              <w:right w:val="single" w:color="auto" w:sz="4" w:space="0"/>
            </w:tcBorders>
            <w:noWrap w:val="0"/>
            <w:vAlign w:val="center"/>
          </w:tcPr>
          <w:p>
            <w:pPr>
              <w:widowControl/>
              <w:spacing w:line="27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科研/教学人员1</w:t>
            </w:r>
          </w:p>
        </w:tc>
        <w:tc>
          <w:tcPr>
            <w:tcW w:w="425" w:type="dxa"/>
            <w:tcBorders>
              <w:top w:val="nil"/>
              <w:left w:val="nil"/>
              <w:bottom w:val="single" w:color="auto" w:sz="4" w:space="0"/>
              <w:right w:val="single" w:color="auto" w:sz="4" w:space="0"/>
            </w:tcBorders>
            <w:noWrap w:val="0"/>
            <w:vAlign w:val="center"/>
          </w:tcPr>
          <w:p>
            <w:pPr>
              <w:widowControl/>
              <w:spacing w:line="27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nil"/>
              <w:left w:val="nil"/>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50万至80万</w:t>
            </w:r>
          </w:p>
        </w:tc>
        <w:tc>
          <w:tcPr>
            <w:tcW w:w="781" w:type="dxa"/>
            <w:tcBorders>
              <w:top w:val="nil"/>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是</w:t>
            </w:r>
          </w:p>
        </w:tc>
        <w:tc>
          <w:tcPr>
            <w:tcW w:w="500" w:type="dxa"/>
            <w:tcBorders>
              <w:top w:val="nil"/>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nil"/>
              <w:left w:val="nil"/>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50周岁及以下</w:t>
            </w:r>
          </w:p>
        </w:tc>
        <w:tc>
          <w:tcPr>
            <w:tcW w:w="1959" w:type="dxa"/>
            <w:tcBorders>
              <w:top w:val="nil"/>
              <w:left w:val="nil"/>
              <w:bottom w:val="single" w:color="auto" w:sz="4" w:space="0"/>
              <w:right w:val="single" w:color="auto" w:sz="4" w:space="0"/>
            </w:tcBorders>
            <w:noWrap w:val="0"/>
            <w:vAlign w:val="center"/>
          </w:tcPr>
          <w:p>
            <w:pPr>
              <w:widowControl/>
              <w:spacing w:line="27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计算机学科与技术（人工智能方向）、软件工程（人工智能方向）、电子信息（人工智能方向）、信息与通信工程（人工智能方向）、控制科学与工程（人工智能方向）</w:t>
            </w:r>
          </w:p>
        </w:tc>
        <w:tc>
          <w:tcPr>
            <w:tcW w:w="1276" w:type="dxa"/>
            <w:tcBorders>
              <w:top w:val="nil"/>
              <w:left w:val="nil"/>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博士研究生/博士</w:t>
            </w:r>
          </w:p>
        </w:tc>
        <w:tc>
          <w:tcPr>
            <w:tcW w:w="2525" w:type="dxa"/>
            <w:tcBorders>
              <w:top w:val="nil"/>
              <w:left w:val="nil"/>
              <w:bottom w:val="single" w:color="auto" w:sz="4" w:space="0"/>
              <w:right w:val="single" w:color="auto" w:sz="4" w:space="0"/>
            </w:tcBorders>
            <w:noWrap w:val="0"/>
            <w:vAlign w:val="center"/>
          </w:tcPr>
          <w:p>
            <w:pPr>
              <w:spacing w:line="27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教授(同时满足海南领军人才标准)，需具备海外留学经历</w:t>
            </w:r>
          </w:p>
        </w:tc>
        <w:tc>
          <w:tcPr>
            <w:tcW w:w="2758" w:type="dxa"/>
            <w:tcBorders>
              <w:top w:val="nil"/>
              <w:left w:val="nil"/>
              <w:bottom w:val="single" w:color="auto" w:sz="4" w:space="0"/>
              <w:right w:val="single" w:color="auto" w:sz="4" w:space="0"/>
            </w:tcBorders>
            <w:noWrap w:val="0"/>
            <w:vAlign w:val="center"/>
          </w:tcPr>
          <w:p>
            <w:pPr>
              <w:widowControl/>
              <w:spacing w:line="27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能够熟悉计算机、智能科学与技术或自动化相关专业，且研究背景为人工智能、深度学习等；能够承担重大科研项目的经验、具有申请科研项目的经验者。</w:t>
            </w:r>
          </w:p>
        </w:tc>
        <w:tc>
          <w:tcPr>
            <w:tcW w:w="709" w:type="dxa"/>
            <w:tcBorders>
              <w:top w:val="nil"/>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270" w:hRule="atLeast"/>
          <w:jc w:val="center"/>
        </w:trPr>
        <w:tc>
          <w:tcPr>
            <w:tcW w:w="1707"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软件工程学院</w:t>
            </w:r>
          </w:p>
          <w:p>
            <w:pPr>
              <w:widowControl/>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（人工智能学院）</w:t>
            </w:r>
          </w:p>
        </w:tc>
        <w:tc>
          <w:tcPr>
            <w:tcW w:w="1414" w:type="dxa"/>
            <w:tcBorders>
              <w:top w:val="nil"/>
              <w:left w:val="nil"/>
              <w:bottom w:val="single" w:color="auto" w:sz="4" w:space="0"/>
              <w:right w:val="single" w:color="auto" w:sz="4" w:space="0"/>
            </w:tcBorders>
            <w:noWrap w:val="0"/>
            <w:vAlign w:val="center"/>
          </w:tcPr>
          <w:p>
            <w:pPr>
              <w:widowControl/>
              <w:spacing w:line="27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科研/教学人员2</w:t>
            </w:r>
          </w:p>
        </w:tc>
        <w:tc>
          <w:tcPr>
            <w:tcW w:w="425" w:type="dxa"/>
            <w:tcBorders>
              <w:top w:val="nil"/>
              <w:left w:val="nil"/>
              <w:bottom w:val="single" w:color="auto" w:sz="4" w:space="0"/>
              <w:right w:val="single" w:color="auto" w:sz="4" w:space="0"/>
            </w:tcBorders>
            <w:noWrap w:val="0"/>
            <w:vAlign w:val="center"/>
          </w:tcPr>
          <w:p>
            <w:pPr>
              <w:widowControl/>
              <w:spacing w:line="27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nil"/>
              <w:left w:val="nil"/>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50万至80万</w:t>
            </w:r>
          </w:p>
        </w:tc>
        <w:tc>
          <w:tcPr>
            <w:tcW w:w="781" w:type="dxa"/>
            <w:tcBorders>
              <w:top w:val="nil"/>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是</w:t>
            </w:r>
          </w:p>
        </w:tc>
        <w:tc>
          <w:tcPr>
            <w:tcW w:w="500" w:type="dxa"/>
            <w:tcBorders>
              <w:top w:val="nil"/>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nil"/>
              <w:left w:val="nil"/>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50周岁及以下</w:t>
            </w:r>
          </w:p>
        </w:tc>
        <w:tc>
          <w:tcPr>
            <w:tcW w:w="1959" w:type="dxa"/>
            <w:tcBorders>
              <w:top w:val="nil"/>
              <w:left w:val="nil"/>
              <w:bottom w:val="single" w:color="auto" w:sz="4" w:space="0"/>
              <w:right w:val="single" w:color="auto" w:sz="4" w:space="0"/>
            </w:tcBorders>
            <w:noWrap w:val="0"/>
            <w:vAlign w:val="center"/>
          </w:tcPr>
          <w:p>
            <w:pPr>
              <w:spacing w:line="27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数据科学、软件工程（大数据分析与挖掘方向）、计算机科学与技术（大数据可视化、数据挖掘方向）、网络空间安全（分布式数据技术、云数据管理技术方向）、计算机应用技术（数据挖掘方向）、人工智能（大数据分析、数据挖掘、管理方向）</w:t>
            </w:r>
          </w:p>
        </w:tc>
        <w:tc>
          <w:tcPr>
            <w:tcW w:w="1276" w:type="dxa"/>
            <w:tcBorders>
              <w:top w:val="nil"/>
              <w:left w:val="nil"/>
              <w:bottom w:val="single" w:color="auto" w:sz="4" w:space="0"/>
              <w:right w:val="single" w:color="auto" w:sz="4" w:space="0"/>
            </w:tcBorders>
            <w:noWrap w:val="0"/>
            <w:vAlign w:val="center"/>
          </w:tcPr>
          <w:p>
            <w:pPr>
              <w:spacing w:line="27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博士研究生/博士</w:t>
            </w:r>
          </w:p>
        </w:tc>
        <w:tc>
          <w:tcPr>
            <w:tcW w:w="2525" w:type="dxa"/>
            <w:tcBorders>
              <w:top w:val="nil"/>
              <w:left w:val="nil"/>
              <w:bottom w:val="single" w:color="auto" w:sz="4" w:space="0"/>
              <w:right w:val="single" w:color="auto" w:sz="4" w:space="0"/>
            </w:tcBorders>
            <w:noWrap w:val="0"/>
            <w:vAlign w:val="center"/>
          </w:tcPr>
          <w:p>
            <w:pPr>
              <w:spacing w:line="27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教授(同时满足海南领军人才标准)，需具备海外留学经历</w:t>
            </w:r>
          </w:p>
        </w:tc>
        <w:tc>
          <w:tcPr>
            <w:tcW w:w="2758" w:type="dxa"/>
            <w:tcBorders>
              <w:top w:val="nil"/>
              <w:left w:val="nil"/>
              <w:bottom w:val="single" w:color="auto" w:sz="4" w:space="0"/>
              <w:right w:val="single" w:color="auto" w:sz="4" w:space="0"/>
            </w:tcBorders>
            <w:noWrap w:val="0"/>
            <w:vAlign w:val="center"/>
          </w:tcPr>
          <w:p>
            <w:pPr>
              <w:widowControl/>
              <w:spacing w:line="27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能够承担重大科研项目的经验、有实际项目管理经验，有较强的独立科研能力，良好的团队合作意识，较强的沟通能力，以及敬业和钻研精神。</w:t>
            </w:r>
          </w:p>
        </w:tc>
        <w:tc>
          <w:tcPr>
            <w:tcW w:w="709" w:type="dxa"/>
            <w:tcBorders>
              <w:top w:val="nil"/>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2163" w:hRule="atLeast"/>
          <w:jc w:val="center"/>
        </w:trPr>
        <w:tc>
          <w:tcPr>
            <w:tcW w:w="170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软件工程学院</w:t>
            </w:r>
          </w:p>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（人工智能学院）</w:t>
            </w:r>
          </w:p>
        </w:tc>
        <w:tc>
          <w:tcPr>
            <w:tcW w:w="141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科研/教学人员3</w:t>
            </w:r>
          </w:p>
        </w:tc>
        <w:tc>
          <w:tcPr>
            <w:tcW w:w="42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30万至50万</w:t>
            </w:r>
          </w:p>
        </w:tc>
        <w:tc>
          <w:tcPr>
            <w:tcW w:w="781"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是</w:t>
            </w:r>
          </w:p>
        </w:tc>
        <w:tc>
          <w:tcPr>
            <w:tcW w:w="500"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50周岁及以下</w:t>
            </w:r>
          </w:p>
        </w:tc>
        <w:tc>
          <w:tcPr>
            <w:tcW w:w="1959" w:type="dxa"/>
            <w:tcBorders>
              <w:top w:val="nil"/>
              <w:left w:val="nil"/>
              <w:bottom w:val="single" w:color="auto" w:sz="4" w:space="0"/>
              <w:right w:val="single" w:color="auto" w:sz="4" w:space="0"/>
            </w:tcBorders>
            <w:noWrap w:val="0"/>
            <w:vAlign w:val="center"/>
          </w:tcPr>
          <w:p>
            <w:pPr>
              <w:spacing w:line="32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网络空间安全（区块链技术方向）、计算机科学与技术（区块链技术方向）、通信计算融合与场景应用（区块链技术方向）</w:t>
            </w:r>
          </w:p>
        </w:tc>
        <w:tc>
          <w:tcPr>
            <w:tcW w:w="127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博士研究生/博士</w:t>
            </w:r>
          </w:p>
        </w:tc>
        <w:tc>
          <w:tcPr>
            <w:tcW w:w="252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教授，需具备海外留学经历</w:t>
            </w:r>
          </w:p>
        </w:tc>
        <w:tc>
          <w:tcPr>
            <w:tcW w:w="275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能够熟悉共识算法、智能合约等区块链技术及其发展趋势；有一定的编程基础，掌握VC、Java或Go语言；具有国家级科研项目经历者，能够承担重大科研项目的经验、具有申请科研项目的经验者。</w:t>
            </w:r>
          </w:p>
        </w:tc>
        <w:tc>
          <w:tcPr>
            <w:tcW w:w="709" w:type="dxa"/>
            <w:tcBorders>
              <w:top w:val="nil"/>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401" w:hRule="atLeast"/>
          <w:jc w:val="center"/>
        </w:trPr>
        <w:tc>
          <w:tcPr>
            <w:tcW w:w="170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动画学院</w:t>
            </w:r>
          </w:p>
        </w:tc>
        <w:tc>
          <w:tcPr>
            <w:tcW w:w="141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科研/教学人员4</w:t>
            </w:r>
          </w:p>
        </w:tc>
        <w:tc>
          <w:tcPr>
            <w:tcW w:w="42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30万至50万</w:t>
            </w:r>
          </w:p>
        </w:tc>
        <w:tc>
          <w:tcPr>
            <w:tcW w:w="781"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是</w:t>
            </w:r>
          </w:p>
        </w:tc>
        <w:tc>
          <w:tcPr>
            <w:tcW w:w="500"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50周岁及以下</w:t>
            </w:r>
          </w:p>
        </w:tc>
        <w:tc>
          <w:tcPr>
            <w:tcW w:w="1959" w:type="dxa"/>
            <w:tcBorders>
              <w:top w:val="nil"/>
              <w:left w:val="nil"/>
              <w:bottom w:val="single" w:color="auto" w:sz="4" w:space="0"/>
              <w:right w:val="single" w:color="auto" w:sz="4" w:space="0"/>
            </w:tcBorders>
            <w:noWrap w:val="0"/>
            <w:vAlign w:val="center"/>
          </w:tcPr>
          <w:p>
            <w:pPr>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计算机科学与技术（虚拟现实技术方向）、网络空间安全（虚拟现实技术方向）、控制科学与工程（虚拟现实技术方向）</w:t>
            </w:r>
          </w:p>
        </w:tc>
        <w:tc>
          <w:tcPr>
            <w:tcW w:w="127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博士研究生/博士</w:t>
            </w:r>
          </w:p>
        </w:tc>
        <w:tc>
          <w:tcPr>
            <w:tcW w:w="252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教授，需具备海外留学经历</w:t>
            </w:r>
          </w:p>
        </w:tc>
        <w:tc>
          <w:tcPr>
            <w:tcW w:w="275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能够承担重大科研项目的经验、有实际项目管理经验，有较强的独立科研能力，良好的团队合作意识，较强的沟通能力，以及敬业和钻研精神。</w:t>
            </w:r>
          </w:p>
        </w:tc>
        <w:tc>
          <w:tcPr>
            <w:tcW w:w="709" w:type="dxa"/>
            <w:tcBorders>
              <w:top w:val="nil"/>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406" w:hRule="atLeast"/>
          <w:jc w:val="center"/>
        </w:trPr>
        <w:tc>
          <w:tcPr>
            <w:tcW w:w="170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仿宋" w:eastAsia="仿宋_GB2312"/>
                <w:color w:val="000000"/>
                <w:kern w:val="0"/>
                <w:sz w:val="18"/>
                <w:szCs w:val="18"/>
              </w:rPr>
              <w:t>经济</w:t>
            </w:r>
            <w:r>
              <w:rPr>
                <w:rFonts w:hint="eastAsia" w:ascii="仿宋_GB2312" w:hAnsi="宋体" w:eastAsia="仿宋_GB2312" w:cs="宋体"/>
                <w:color w:val="000000"/>
                <w:kern w:val="0"/>
                <w:sz w:val="18"/>
                <w:szCs w:val="18"/>
              </w:rPr>
              <w:t>管</w:t>
            </w:r>
            <w:r>
              <w:rPr>
                <w:rFonts w:hint="eastAsia" w:ascii="仿宋_GB2312" w:hAnsi="仿宋" w:eastAsia="仿宋_GB2312"/>
                <w:color w:val="000000"/>
                <w:kern w:val="0"/>
                <w:sz w:val="18"/>
                <w:szCs w:val="18"/>
              </w:rPr>
              <w:t>理学院</w:t>
            </w:r>
          </w:p>
        </w:tc>
        <w:tc>
          <w:tcPr>
            <w:tcW w:w="141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科研/教学人员5</w:t>
            </w:r>
          </w:p>
        </w:tc>
        <w:tc>
          <w:tcPr>
            <w:tcW w:w="42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30万至50万</w:t>
            </w:r>
          </w:p>
        </w:tc>
        <w:tc>
          <w:tcPr>
            <w:tcW w:w="781"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是</w:t>
            </w:r>
          </w:p>
        </w:tc>
        <w:tc>
          <w:tcPr>
            <w:tcW w:w="500"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50周岁及以下</w:t>
            </w:r>
          </w:p>
        </w:tc>
        <w:tc>
          <w:tcPr>
            <w:tcW w:w="1959" w:type="dxa"/>
            <w:tcBorders>
              <w:top w:val="nil"/>
              <w:left w:val="nil"/>
              <w:bottom w:val="single" w:color="auto" w:sz="4" w:space="0"/>
              <w:right w:val="single" w:color="auto" w:sz="4" w:space="0"/>
            </w:tcBorders>
            <w:noWrap w:val="0"/>
            <w:vAlign w:val="center"/>
          </w:tcPr>
          <w:p>
            <w:pPr>
              <w:spacing w:line="22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国际贸易（跨境电商与数字贸易方向）、经济信息管理（电子商务与互联网经济方向）</w:t>
            </w:r>
          </w:p>
        </w:tc>
        <w:tc>
          <w:tcPr>
            <w:tcW w:w="127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博士研究生/博士</w:t>
            </w:r>
          </w:p>
        </w:tc>
        <w:tc>
          <w:tcPr>
            <w:tcW w:w="252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教授，需具备海外留学经历</w:t>
            </w:r>
          </w:p>
        </w:tc>
        <w:tc>
          <w:tcPr>
            <w:tcW w:w="275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能够承担重大科研项目的经验、有实际项目管理经验，有较强的独立科研能力，良好的团队合作意识，较强的沟通能力，以及敬业和钻研精神。</w:t>
            </w:r>
          </w:p>
        </w:tc>
        <w:tc>
          <w:tcPr>
            <w:tcW w:w="709" w:type="dxa"/>
            <w:tcBorders>
              <w:top w:val="nil"/>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738" w:hRule="atLeast"/>
          <w:jc w:val="center"/>
        </w:trPr>
        <w:tc>
          <w:tcPr>
            <w:tcW w:w="170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软件工程学院</w:t>
            </w:r>
          </w:p>
          <w:p>
            <w:pPr>
              <w:widowControl/>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（人工智能学院）</w:t>
            </w:r>
          </w:p>
        </w:tc>
        <w:tc>
          <w:tcPr>
            <w:tcW w:w="141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人工智能专业带头人</w:t>
            </w:r>
          </w:p>
        </w:tc>
        <w:tc>
          <w:tcPr>
            <w:tcW w:w="42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计算机科学与技术、软件工程、计算机软件与理论、模式识别与智能系统、计算机系统结构</w:t>
            </w:r>
          </w:p>
        </w:tc>
        <w:tc>
          <w:tcPr>
            <w:tcW w:w="1276"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博士研究生/博士</w:t>
            </w:r>
          </w:p>
        </w:tc>
        <w:tc>
          <w:tcPr>
            <w:tcW w:w="2525"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宋体" w:eastAsia="仿宋_GB2312" w:cs="宋体"/>
                <w:color w:val="000000"/>
                <w:kern w:val="0"/>
                <w:sz w:val="18"/>
                <w:szCs w:val="18"/>
              </w:rPr>
            </w:pPr>
          </w:p>
        </w:tc>
        <w:tc>
          <w:tcPr>
            <w:tcW w:w="275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1.熟练掌握目前流行项目开发流程，具备较丰富的分布式应用软件开发经验；</w:t>
            </w:r>
          </w:p>
          <w:p>
            <w:pPr>
              <w:widowControl/>
              <w:spacing w:line="24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2.熟悉C、JAVA或Python其中一门语言；</w:t>
            </w:r>
          </w:p>
          <w:p>
            <w:pPr>
              <w:widowControl/>
              <w:spacing w:line="24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3.具备一定的项目管理经验；</w:t>
            </w:r>
          </w:p>
          <w:p>
            <w:pPr>
              <w:widowControl/>
              <w:spacing w:line="24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4.能积极带领青年教师开展科学研究、教学研究等工作。</w:t>
            </w:r>
          </w:p>
        </w:tc>
        <w:tc>
          <w:tcPr>
            <w:tcW w:w="709" w:type="dxa"/>
            <w:tcBorders>
              <w:top w:val="nil"/>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2882" w:hRule="atLeast"/>
          <w:jc w:val="center"/>
        </w:trPr>
        <w:tc>
          <w:tcPr>
            <w:tcW w:w="170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软件工程学院</w:t>
            </w:r>
          </w:p>
          <w:p>
            <w:pPr>
              <w:widowControl/>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（人工智能学院）</w:t>
            </w:r>
          </w:p>
        </w:tc>
        <w:tc>
          <w:tcPr>
            <w:tcW w:w="141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大数据专业</w:t>
            </w:r>
          </w:p>
          <w:p>
            <w:pPr>
              <w:widowControl/>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教师</w:t>
            </w:r>
          </w:p>
        </w:tc>
        <w:tc>
          <w:tcPr>
            <w:tcW w:w="42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否</w:t>
            </w:r>
          </w:p>
        </w:tc>
        <w:tc>
          <w:tcPr>
            <w:tcW w:w="500"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计算机科学与技术、软件工程、计算机软件与理论、计算机系统结构</w:t>
            </w:r>
          </w:p>
        </w:tc>
        <w:tc>
          <w:tcPr>
            <w:tcW w:w="1276"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nil"/>
              <w:left w:val="nil"/>
              <w:bottom w:val="single" w:color="auto" w:sz="4" w:space="0"/>
              <w:right w:val="single" w:color="auto" w:sz="4" w:space="0"/>
            </w:tcBorders>
            <w:noWrap w:val="0"/>
            <w:vAlign w:val="center"/>
          </w:tcPr>
          <w:p>
            <w:pPr>
              <w:rPr>
                <w:rFonts w:hint="eastAsia" w:ascii="仿宋_GB2312" w:hAnsi="宋体" w:eastAsia="仿宋_GB2312" w:cs="宋体"/>
                <w:color w:val="000000"/>
                <w:kern w:val="0"/>
                <w:sz w:val="18"/>
                <w:szCs w:val="18"/>
              </w:rPr>
            </w:pPr>
          </w:p>
        </w:tc>
        <w:tc>
          <w:tcPr>
            <w:tcW w:w="2758" w:type="dxa"/>
            <w:tcBorders>
              <w:top w:val="nil"/>
              <w:left w:val="nil"/>
              <w:bottom w:val="single" w:color="auto" w:sz="4" w:space="0"/>
              <w:right w:val="single" w:color="auto" w:sz="4" w:space="0"/>
            </w:tcBorders>
            <w:noWrap w:val="0"/>
            <w:vAlign w:val="center"/>
          </w:tcPr>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1.3年以上基于Oracle、MySQL数据库的应用系统开发经验，熟悉SQL，能熟练地运用PL/SQL开发工具</w:t>
            </w:r>
          </w:p>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2.3年以上JAVA项目开发经验；有过大型项目经验者优先</w:t>
            </w:r>
          </w:p>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3.熟悉常用的开源J2EE框架，如Spring、Hibernate、MyBatis、SpringMVC等</w:t>
            </w:r>
          </w:p>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4.学习和理解能力强，具有一定的系统分析能力，及独立解决问题的能力</w:t>
            </w:r>
          </w:p>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5.具备良好的团队合作精神和承受压力的能力</w:t>
            </w:r>
          </w:p>
        </w:tc>
        <w:tc>
          <w:tcPr>
            <w:tcW w:w="709" w:type="dxa"/>
            <w:tcBorders>
              <w:top w:val="nil"/>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2626" w:hRule="atLeast"/>
          <w:jc w:val="center"/>
        </w:trPr>
        <w:tc>
          <w:tcPr>
            <w:tcW w:w="170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软件工程学院</w:t>
            </w:r>
          </w:p>
          <w:p>
            <w:pPr>
              <w:widowControl/>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（人工智能学院）</w:t>
            </w:r>
          </w:p>
        </w:tc>
        <w:tc>
          <w:tcPr>
            <w:tcW w:w="141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物联网专业</w:t>
            </w:r>
          </w:p>
          <w:p>
            <w:pPr>
              <w:widowControl/>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教师</w:t>
            </w:r>
          </w:p>
        </w:tc>
        <w:tc>
          <w:tcPr>
            <w:tcW w:w="42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控制科学与工程、控制理论与控制工程、模式识别与智能系统</w:t>
            </w:r>
          </w:p>
        </w:tc>
        <w:tc>
          <w:tcPr>
            <w:tcW w:w="1276"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nil"/>
              <w:left w:val="nil"/>
              <w:bottom w:val="single" w:color="auto" w:sz="4" w:space="0"/>
              <w:right w:val="single" w:color="auto" w:sz="4" w:space="0"/>
            </w:tcBorders>
            <w:noWrap w:val="0"/>
            <w:vAlign w:val="center"/>
          </w:tcPr>
          <w:p>
            <w:pPr>
              <w:rPr>
                <w:rFonts w:hint="eastAsia" w:ascii="仿宋_GB2312" w:hAnsi="宋体" w:eastAsia="仿宋_GB2312" w:cs="宋体"/>
                <w:color w:val="000000"/>
                <w:kern w:val="0"/>
                <w:sz w:val="18"/>
                <w:szCs w:val="18"/>
              </w:rPr>
            </w:pPr>
          </w:p>
        </w:tc>
        <w:tc>
          <w:tcPr>
            <w:tcW w:w="2758" w:type="dxa"/>
            <w:tcBorders>
              <w:top w:val="nil"/>
              <w:left w:val="nil"/>
              <w:bottom w:val="single" w:color="auto" w:sz="4" w:space="0"/>
              <w:right w:val="single" w:color="auto" w:sz="4" w:space="0"/>
            </w:tcBorders>
            <w:noWrap w:val="0"/>
            <w:vAlign w:val="center"/>
          </w:tcPr>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 xml:space="preserve">1.2年以上工作经验 </w:t>
            </w:r>
          </w:p>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2.熟悉软件开发和测试流程，有全面产品设计项目生命周期经验；</w:t>
            </w:r>
          </w:p>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3.熟悉无线通信方案,蓝牙，Wifi,Zigbee.</w:t>
            </w:r>
          </w:p>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4.了解LabVIEW，C#， NI硬件和采集模块IO</w:t>
            </w:r>
          </w:p>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5.了解 MES系统，PLC，SQL server/Mysql数据库 6.了解Local service ，Web service，标准的HTTP通讯协议，接口REST格式等</w:t>
            </w:r>
          </w:p>
        </w:tc>
        <w:tc>
          <w:tcPr>
            <w:tcW w:w="709" w:type="dxa"/>
            <w:tcBorders>
              <w:top w:val="nil"/>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596"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马克思主义学院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思想政治</w:t>
            </w:r>
          </w:p>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理论课教师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本科和研究生专业（方向）均为马克思主义基本原理、马克思主义发展史、马克思主义中国化研究、思想政治教育</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中共党员</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能够承担：思想道德修养与法律基础、毛泽东思想和中国特色社会主义理论体系概论、形势与政策、中国近现代史纲要、马克思主义基本原理等课程的教学科研任务</w:t>
            </w:r>
          </w:p>
        </w:tc>
        <w:tc>
          <w:tcPr>
            <w:tcW w:w="709"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548"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公共教学部</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中文教师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10万以上至30万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汉语言文学、汉语言文学教育、文艺学、中国古代文学、中国现当代文学、比较文学与世界文学、广播电视学</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获得省级以上（含省级）朗诵（诵读）、演讲等语言类竞赛奖</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能够承担：1.语文学科的教学工作，具有一定的教科研能力；2.指导学生技能竞赛（朗诵、演讲等语言类）；3.语文类课程建设。</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2393"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机电工程学院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工业机器人</w:t>
            </w:r>
          </w:p>
          <w:p>
            <w:pPr>
              <w:widowControl/>
              <w:spacing w:line="280" w:lineRule="exact"/>
              <w:jc w:val="center"/>
              <w:rPr>
                <w:rFonts w:hint="eastAsia" w:ascii="仿宋_GB2312" w:eastAsia="仿宋_GB2312"/>
                <w:color w:val="000000"/>
                <w:kern w:val="0"/>
                <w:sz w:val="18"/>
                <w:szCs w:val="18"/>
              </w:rPr>
            </w:pPr>
            <w:r>
              <w:rPr>
                <w:rFonts w:hint="eastAsia" w:ascii="仿宋_GB2312" w:hAnsi="宋体" w:eastAsia="仿宋_GB2312" w:cs="宋体"/>
                <w:color w:val="000000"/>
                <w:kern w:val="0"/>
                <w:sz w:val="18"/>
                <w:szCs w:val="18"/>
              </w:rPr>
              <w:t>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color w:val="000000"/>
                <w:kern w:val="0"/>
                <w:sz w:val="18"/>
                <w:szCs w:val="18"/>
              </w:rPr>
            </w:pPr>
            <w:r>
              <w:rPr>
                <w:rFonts w:hint="eastAsia" w:ascii="仿宋_GB2312" w:eastAsia="仿宋_GB2312"/>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机械工程、电气工程、控制理论与控制工程</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eastAsia="仿宋_GB2312"/>
                <w:color w:val="000000"/>
                <w:kern w:val="0"/>
                <w:sz w:val="18"/>
                <w:szCs w:val="18"/>
              </w:rPr>
              <w:t>具有在海内外工业机器人控制机构从事工业机器人的控制、工业机器人编程、工业机器人离线编程及ABB RobotStudio研究、战略研究2年及以上的工作经历；在海内外工业机器人高端智库组织并形成业界有影响力的决策咨询成果；研究成果具有较高的学术水平和实践价值，得到业内认可。</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180" w:lineRule="exact"/>
              <w:rPr>
                <w:rFonts w:hint="eastAsia" w:ascii="仿宋_GB2312" w:eastAsia="仿宋_GB2312"/>
                <w:color w:val="000000"/>
                <w:kern w:val="0"/>
                <w:sz w:val="18"/>
                <w:szCs w:val="18"/>
              </w:rPr>
            </w:pPr>
            <w:r>
              <w:rPr>
                <w:rFonts w:hint="eastAsia" w:ascii="仿宋_GB2312" w:eastAsia="仿宋_GB2312"/>
                <w:color w:val="000000"/>
                <w:kern w:val="0"/>
                <w:sz w:val="18"/>
                <w:szCs w:val="18"/>
              </w:rPr>
              <w:t>能够承担：《工厂供电》、《电机与电气控制》、《交直流调速系统》、《变频器技术与应用》、《工业机器人技术基础》、《工业机器人编程与操作》、《工业机器人离线编程与仿真》、ABB RobotStudio(abb机器人仿真软件应用）  等课程的教学工作</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293" w:hRule="atLeast"/>
          <w:jc w:val="center"/>
        </w:trPr>
        <w:tc>
          <w:tcPr>
            <w:tcW w:w="1707" w:type="dxa"/>
            <w:tcBorders>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学生处</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ind w:firstLine="270" w:firstLineChars="150"/>
              <w:jc w:val="lef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辅导员</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lef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4</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男</w:t>
            </w:r>
          </w:p>
        </w:tc>
        <w:tc>
          <w:tcPr>
            <w:tcW w:w="828" w:type="dxa"/>
            <w:tcBorders>
              <w:top w:val="single" w:color="auto" w:sz="4" w:space="0"/>
              <w:left w:val="nil"/>
              <w:right w:val="single" w:color="auto" w:sz="4" w:space="0"/>
            </w:tcBorders>
            <w:noWrap w:val="0"/>
            <w:vAlign w:val="center"/>
          </w:tcPr>
          <w:p>
            <w:pPr>
              <w:widowControl/>
              <w:spacing w:line="320" w:lineRule="atLeast"/>
              <w:jc w:val="lef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30周岁及以下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不限</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中共党员,曾担任校（院）级学生会、团委部长以上干部（或班长、团支部书记）</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Cs w:val="21"/>
              </w:rPr>
            </w:pPr>
            <w:r>
              <w:rPr>
                <w:rFonts w:hint="eastAsia" w:ascii="仿宋_GB2312" w:hAnsi="仿宋" w:eastAsia="仿宋_GB2312"/>
                <w:color w:val="000000"/>
                <w:kern w:val="0"/>
                <w:sz w:val="18"/>
                <w:szCs w:val="18"/>
              </w:rPr>
              <w:t>思想政治理论扎实，有较强组织能力，管理能力，协调沟通能力，善于处理学生突发事件，做好学生日常思想政治教育等工作，需入住男生公寓宿舍至少3年</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825"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经济</w:t>
            </w:r>
            <w:r>
              <w:rPr>
                <w:rFonts w:hint="eastAsia" w:ascii="仿宋_GB2312" w:hAnsi="宋体" w:eastAsia="仿宋_GB2312" w:cs="宋体"/>
                <w:color w:val="000000"/>
                <w:kern w:val="0"/>
                <w:sz w:val="18"/>
                <w:szCs w:val="18"/>
              </w:rPr>
              <w:t>管</w:t>
            </w:r>
            <w:r>
              <w:rPr>
                <w:rFonts w:hint="eastAsia" w:ascii="仿宋_GB2312" w:hAnsi="仿宋" w:eastAsia="仿宋_GB2312"/>
                <w:color w:val="000000"/>
                <w:kern w:val="0"/>
                <w:sz w:val="18"/>
                <w:szCs w:val="18"/>
              </w:rPr>
              <w:t>理学院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电子商务教师1</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_GB2312" w:hAnsi="仿宋" w:eastAsia="仿宋_GB2312"/>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320" w:lineRule="atLeas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电子商务、国际商务、国际贸易学</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320" w:lineRule="atLeas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有跨境电子商务工作经历或留学背景。</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能够承担课程：跨境电商、国际贸易理论与实务、商务英语函电、电商运营、移动商务、网络营销等。</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考核</w:t>
            </w:r>
          </w:p>
        </w:tc>
      </w:tr>
      <w:tr>
        <w:tblPrEx>
          <w:tblCellMar>
            <w:top w:w="0" w:type="dxa"/>
            <w:left w:w="108" w:type="dxa"/>
            <w:bottom w:w="0" w:type="dxa"/>
            <w:right w:w="108" w:type="dxa"/>
          </w:tblCellMar>
        </w:tblPrEx>
        <w:trPr>
          <w:trHeight w:val="1016"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s="宋体"/>
                <w:color w:val="000000"/>
                <w:kern w:val="0"/>
                <w:sz w:val="18"/>
                <w:szCs w:val="18"/>
              </w:rPr>
            </w:pPr>
            <w:r>
              <w:rPr>
                <w:rFonts w:hint="eastAsia" w:ascii="仿宋_GB2312" w:hAnsi="仿宋" w:eastAsia="仿宋_GB2312"/>
                <w:color w:val="000000"/>
                <w:kern w:val="0"/>
                <w:sz w:val="18"/>
                <w:szCs w:val="18"/>
              </w:rPr>
              <w:t>经济管</w:t>
            </w:r>
            <w:r>
              <w:rPr>
                <w:rFonts w:hint="eastAsia" w:ascii="仿宋_GB2312" w:hAnsi="宋体" w:eastAsia="仿宋_GB2312" w:cs="宋体"/>
                <w:color w:val="000000"/>
                <w:kern w:val="0"/>
                <w:sz w:val="18"/>
                <w:szCs w:val="18"/>
              </w:rPr>
              <w:t>理</w:t>
            </w:r>
            <w:r>
              <w:rPr>
                <w:rFonts w:hint="eastAsia" w:ascii="仿宋_GB2312" w:hAnsi="仿宋" w:eastAsia="仿宋_GB2312"/>
                <w:color w:val="000000"/>
                <w:kern w:val="0"/>
                <w:sz w:val="18"/>
                <w:szCs w:val="18"/>
              </w:rPr>
              <w:t>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rPr>
                <w:rFonts w:hint="eastAsia" w:ascii="仿宋_GB2312" w:hAnsi="仿宋" w:eastAsia="仿宋_GB2312" w:cs="宋体"/>
                <w:color w:val="000000"/>
                <w:kern w:val="0"/>
                <w:sz w:val="18"/>
                <w:szCs w:val="18"/>
              </w:rPr>
            </w:pPr>
            <w:r>
              <w:rPr>
                <w:rFonts w:hint="eastAsia" w:ascii="仿宋_GB2312" w:hAnsi="仿宋" w:eastAsia="仿宋_GB2312"/>
                <w:color w:val="000000"/>
                <w:kern w:val="0"/>
                <w:sz w:val="18"/>
                <w:szCs w:val="18"/>
              </w:rPr>
              <w:t>电子商务教师2</w:t>
            </w:r>
          </w:p>
        </w:tc>
        <w:tc>
          <w:tcPr>
            <w:tcW w:w="425"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hAnsi="仿宋" w:eastAsia="仿宋_GB2312" w:cs="宋体"/>
                <w:color w:val="000000"/>
                <w:kern w:val="0"/>
                <w:sz w:val="18"/>
                <w:szCs w:val="18"/>
              </w:rPr>
            </w:pPr>
            <w:r>
              <w:rPr>
                <w:rFonts w:hint="eastAsia" w:ascii="仿宋_GB2312" w:hAnsi="仿宋"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s="宋体"/>
                <w:color w:val="000000"/>
                <w:kern w:val="0"/>
                <w:sz w:val="18"/>
                <w:szCs w:val="18"/>
              </w:rPr>
            </w:pPr>
            <w:r>
              <w:rPr>
                <w:rFonts w:hint="eastAsia" w:ascii="仿宋_GB2312" w:hAnsi="仿宋"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仿宋" w:eastAsia="仿宋_GB2312" w:cs="宋体"/>
                <w:color w:val="000000"/>
                <w:kern w:val="0"/>
                <w:sz w:val="18"/>
                <w:szCs w:val="18"/>
              </w:rPr>
            </w:pPr>
            <w:r>
              <w:rPr>
                <w:rFonts w:hint="eastAsia" w:ascii="仿宋_GB2312" w:hAnsi="仿宋"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_GB2312" w:hAnsi="仿宋"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 xml:space="preserve">电子商务专业 </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_GB2312" w:hAnsi="仿宋" w:eastAsia="仿宋_GB2312"/>
                <w:color w:val="000000"/>
                <w:kern w:val="0"/>
                <w:sz w:val="18"/>
                <w:szCs w:val="18"/>
              </w:rPr>
            </w:pPr>
            <w:r>
              <w:rPr>
                <w:rFonts w:hint="eastAsia" w:ascii="仿宋_GB2312" w:hAnsi="宋体" w:eastAsia="仿宋_GB2312" w:cs="宋体"/>
                <w:color w:val="000000"/>
                <w:kern w:val="0"/>
                <w:sz w:val="18"/>
                <w:szCs w:val="18"/>
              </w:rPr>
              <w:t>本科/学士</w:t>
            </w:r>
          </w:p>
        </w:tc>
        <w:tc>
          <w:tcPr>
            <w:tcW w:w="2525"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有3年以上电子商务行业工作经历</w:t>
            </w:r>
          </w:p>
        </w:tc>
        <w:tc>
          <w:tcPr>
            <w:tcW w:w="2758" w:type="dxa"/>
            <w:tcBorders>
              <w:top w:val="single" w:color="auto" w:sz="4" w:space="0"/>
              <w:left w:val="nil"/>
              <w:bottom w:val="single" w:color="auto" w:sz="4" w:space="0"/>
              <w:right w:val="single" w:color="auto" w:sz="4" w:space="0"/>
            </w:tcBorders>
            <w:noWrap w:val="0"/>
            <w:vAlign w:val="center"/>
          </w:tcPr>
          <w:p>
            <w:pPr>
              <w:spacing w:line="200" w:lineRule="exact"/>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能够承担课程：电商运营、移动商务、网络营销、网店美工、网页设计等。</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r>
      <w:tr>
        <w:tblPrEx>
          <w:tblCellMar>
            <w:top w:w="0" w:type="dxa"/>
            <w:left w:w="108" w:type="dxa"/>
            <w:bottom w:w="0" w:type="dxa"/>
            <w:right w:w="108" w:type="dxa"/>
          </w:tblCellMar>
        </w:tblPrEx>
        <w:trPr>
          <w:trHeight w:val="1454"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国际教育与旅游</w:t>
            </w:r>
          </w:p>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酒店管理专业教师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仿宋"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酒店管理、旅游管理</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320" w:lineRule="atLeas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具有酒店业或旅游业职业资格证书</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1.能够承担酒店前厅服务与管理、酒店餐饮服务与管理等酒店管理专业课程；</w:t>
            </w:r>
          </w:p>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2.能够承担导游业务、旅游景区服务与管理等旅游管理专业课程。</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465"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国际教育与旅游</w:t>
            </w:r>
          </w:p>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烹饪专业教师1</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仿宋"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烹饪工艺与营养、</w:t>
            </w:r>
          </w:p>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营养配餐、餐饮管理</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全日制专科及以上学历</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2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1.具有技师或高级技师职业资格，且连续5年以上从事相关岗位的工作经历；2.获得省级高层次人才认定证书。</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1.具备中餐菜肴实操技能。</w:t>
            </w:r>
          </w:p>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2.能指导学生参加烹饪类职业技能竞赛。</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847"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国际教育与旅游</w:t>
            </w:r>
          </w:p>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烹饪专业教师2</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仿宋"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320" w:lineRule="atLeas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食品卫生与营养学、烹饪与营养教育、食品营养与检验教育</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本科/学士</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有教学或食品营养科研经历</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1.能够承担烹饪营养与卫生等烹饪专业课程；</w:t>
            </w:r>
          </w:p>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2.能运用烹饪营养分析仪器进行菜品分析。</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考试</w:t>
            </w:r>
          </w:p>
        </w:tc>
      </w:tr>
      <w:tr>
        <w:tblPrEx>
          <w:tblCellMar>
            <w:top w:w="0" w:type="dxa"/>
            <w:left w:w="108" w:type="dxa"/>
            <w:bottom w:w="0" w:type="dxa"/>
            <w:right w:w="108" w:type="dxa"/>
          </w:tblCellMar>
        </w:tblPrEx>
        <w:trPr>
          <w:trHeight w:val="1887"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艺术传媒学院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00" w:lineRule="atLeas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学前教育教师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仿宋"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学前教育</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2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本科和研究生阶段必须是学前教育专业</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能够承担：幼儿园五大领域课程，能带领学生开展教育实习实践；语言功底扎实，</w:t>
            </w:r>
          </w:p>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有良好的表达、沟通、协调能力；熟悉幼儿教育专业考证教学与辅导工作；能组织，指导学生参加各项技能比赛；开展课程建设及专业建设等教研工作。</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331"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艺术传媒学院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舞蹈教师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320" w:lineRule="atLeas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舞蹈学、舞蹈编导、舞蹈表演</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本科/学士</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仿宋" w:eastAsia="仿宋_GB2312"/>
                <w:color w:val="000000"/>
                <w:kern w:val="0"/>
                <w:sz w:val="18"/>
                <w:szCs w:val="18"/>
              </w:rPr>
              <w:t>有3年以上舞蹈教师工作经历</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hAnsi="仿宋" w:eastAsia="仿宋_GB2312"/>
                <w:color w:val="000000"/>
                <w:kern w:val="0"/>
                <w:sz w:val="18"/>
                <w:szCs w:val="18"/>
              </w:rPr>
              <w:t>能够承担：《民族民间舞》《现代舞》《舞蹈创编》《舞蹈技巧》等相关舞蹈课程；个人能参与各项专业赛事及演出任务；有一定的团队管理能力和编导能力，能够负责舞蹈团的日常训练、演出、比赛及团队建设、管理等工作。</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考试</w:t>
            </w:r>
          </w:p>
        </w:tc>
      </w:tr>
      <w:tr>
        <w:tblPrEx>
          <w:tblCellMar>
            <w:top w:w="0" w:type="dxa"/>
            <w:left w:w="108" w:type="dxa"/>
            <w:bottom w:w="0" w:type="dxa"/>
            <w:right w:w="108" w:type="dxa"/>
          </w:tblCellMar>
        </w:tblPrEx>
        <w:trPr>
          <w:trHeight w:val="1738"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网络工程学院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计算机网络技术专业教师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计算机科学与技术、物联网工程</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p>
        </w:tc>
        <w:tc>
          <w:tcPr>
            <w:tcW w:w="275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1.承担核心专业课程教学（网络设备安装与调试、无线网络技术、IPv6技术应用、网络工程项目管理与实施、SDN技术等）；</w:t>
            </w:r>
          </w:p>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2.熟悉主流的网络设备（包括：锐捷、H3C、华为）。</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125"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网络工程学院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网络系统运维专业教师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计算机科学与技术、软件工程</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p>
        </w:tc>
        <w:tc>
          <w:tcPr>
            <w:tcW w:w="275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承担核心专业课程教学（程序设计基础、数据库管理、Windows操作系统运维、Linux操作系统运维、自动化运维技术）。</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2402"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网络工程学院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网络专业教师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计算机科学与技术、软件工程</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1.掌握常用的推荐算法、机器学习算法、数据挖掘相关算法和技术，并熟悉通用数据结构和算法</w:t>
            </w:r>
          </w:p>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2.熟悉Java/C++/Python等语言，有一定的Mapreduce开发经验及数据分析或流程优化经验者优先。</w:t>
            </w:r>
          </w:p>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3.承担核心专业课程教学（高级程序设计、数据库管理、Excel数据分析、PowerBI数据分析等核心课程）</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260"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网络工程学院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信息安全专业教师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信息安全、信息与计算科学、网络工程</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本科/学士</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1.具有3年以上企业工作经历且从事网络安全相关工作</w:t>
            </w:r>
          </w:p>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2.具</w:t>
            </w:r>
            <w:r>
              <w:rPr>
                <w:rFonts w:ascii="仿宋_GB2312" w:hAnsi="宋体" w:eastAsia="仿宋_GB2312" w:cs="宋体"/>
                <w:color w:val="000000"/>
                <w:kern w:val="0"/>
                <w:sz w:val="18"/>
                <w:szCs w:val="18"/>
              </w:rPr>
              <w:t>有CISP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RCTE</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CCIE</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HCIE</w:t>
            </w:r>
            <w:r>
              <w:rPr>
                <w:rFonts w:hint="eastAsia" w:ascii="仿宋_GB2312" w:hAnsi="宋体" w:eastAsia="仿宋_GB2312" w:cs="宋体"/>
                <w:color w:val="000000"/>
                <w:kern w:val="0"/>
                <w:sz w:val="18"/>
                <w:szCs w:val="18"/>
              </w:rPr>
              <w:t>证书之一。</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承担核心专业课程教学（网络安全部署、网络攻击与防护、防火墙部署与维护、Web应用安全、漏洞扫描与防护等课程）。</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考试</w:t>
            </w:r>
          </w:p>
        </w:tc>
      </w:tr>
      <w:tr>
        <w:tblPrEx>
          <w:tblCellMar>
            <w:top w:w="0" w:type="dxa"/>
            <w:left w:w="108" w:type="dxa"/>
            <w:bottom w:w="0" w:type="dxa"/>
            <w:right w:w="108" w:type="dxa"/>
          </w:tblCellMar>
        </w:tblPrEx>
        <w:trPr>
          <w:trHeight w:val="834"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动画学院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艺术设计教师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艺术设计、视觉传达设计、设计艺术学、信息艺术设计</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应聘前需提交个人作品集。</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能够承担：《标志设计》《UI设计》《图形创意》《字体设计》等课程的教学工作；绘画能力强，精通各类平面设计软件。</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r>
        <w:tblPrEx>
          <w:tblCellMar>
            <w:top w:w="0" w:type="dxa"/>
            <w:left w:w="108" w:type="dxa"/>
            <w:bottom w:w="0" w:type="dxa"/>
            <w:right w:w="108" w:type="dxa"/>
          </w:tblCellMar>
        </w:tblPrEx>
        <w:trPr>
          <w:trHeight w:val="1738"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动画学院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数字媒体技术教师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数字媒体设计、数字媒体技术、虚拟现实技术</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本科/学士</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有3年以上游戏设计或虚拟现实技术类企业相应岗位工作</w:t>
            </w: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能够承担虚拟现实应用技术专业《虚拟现实技术》《Unity3D项目开发》《VR游戏开发》《游戏模型制作》等课程的教学工作。对引擎制作软件及交互技术有丰富的行业工作经验，了解行业内各种软件特性。</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考试</w:t>
            </w:r>
          </w:p>
        </w:tc>
      </w:tr>
      <w:tr>
        <w:tblPrEx>
          <w:tblCellMar>
            <w:top w:w="0" w:type="dxa"/>
            <w:left w:w="108" w:type="dxa"/>
            <w:bottom w:w="0" w:type="dxa"/>
            <w:right w:w="108" w:type="dxa"/>
          </w:tblCellMar>
        </w:tblPrEx>
        <w:trPr>
          <w:trHeight w:val="1975" w:hRule="atLeast"/>
          <w:jc w:val="center"/>
        </w:trPr>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动画学院</w:t>
            </w:r>
          </w:p>
        </w:tc>
        <w:tc>
          <w:tcPr>
            <w:tcW w:w="1414"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动画教师</w:t>
            </w:r>
          </w:p>
        </w:tc>
        <w:tc>
          <w:tcPr>
            <w:tcW w:w="425"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10万至30万</w:t>
            </w: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否</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不限</w:t>
            </w:r>
          </w:p>
        </w:tc>
        <w:tc>
          <w:tcPr>
            <w:tcW w:w="8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35周岁及以下</w:t>
            </w:r>
          </w:p>
        </w:tc>
        <w:tc>
          <w:tcPr>
            <w:tcW w:w="195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动画、游戏、数字媒体艺术</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硕士研究生/硕士及以上</w:t>
            </w:r>
          </w:p>
        </w:tc>
        <w:tc>
          <w:tcPr>
            <w:tcW w:w="2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p>
        </w:tc>
        <w:tc>
          <w:tcPr>
            <w:tcW w:w="2758" w:type="dxa"/>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能够承担：《模型设置》《材质贴图》《灯光渲染》《三维动画技术》等课程的教学工作；熟练使3DMax\MAYA\Zbush\Unity3D等三维软件及对应插件。扎实的美术功底，较强的美学基础，有良好的三维空间尺度感，具有很好画面整体效果的掌控能力。</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atLeas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考核</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CF1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2020-05-15T08:09:26Z</dcterms:created>
  <dc:creator>Administrator</dc:creator>
  <cp:lastModifiedBy>其宇</cp:lastModifiedBy>
  <dcterms:modified xsi:type="dcterms:W3CDTF">2020-05-15T08:11:59Z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